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5" w:rsidRPr="006A25A8" w:rsidRDefault="00F93425" w:rsidP="004B4D0B">
      <w:pPr>
        <w:widowControl w:val="0"/>
        <w:snapToGrid w:val="0"/>
        <w:spacing w:after="0" w:line="460" w:lineRule="exact"/>
        <w:jc w:val="center"/>
        <w:rPr>
          <w:rFonts w:ascii="Times New Roman" w:eastAsia="標楷體" w:hAnsi="Times New Roman"/>
          <w:kern w:val="2"/>
          <w:sz w:val="40"/>
          <w:szCs w:val="40"/>
          <w:lang w:eastAsia="zh-TW"/>
        </w:rPr>
      </w:pPr>
      <w:r>
        <w:rPr>
          <w:rFonts w:ascii="Times New Roman" w:eastAsia="標楷體" w:hAnsi="Times New Roman" w:hint="eastAsia"/>
          <w:kern w:val="2"/>
          <w:sz w:val="40"/>
          <w:szCs w:val="40"/>
          <w:lang w:eastAsia="zh-TW"/>
        </w:rPr>
        <w:t>公職人員財產申報資料審核及查閱辦法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76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一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  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本辦法依公職人員財產申報法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以下稱本法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第六條第三項及第十一條第一項規定訂定之。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76" w:firstLine="31680"/>
        <w:jc w:val="both"/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二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條　　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公職人員或公職候選人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以下稱申報人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申報財產，應依規定格式詳實填寫財產申報表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以下稱申報表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，並簽名或蓋章後，提出於該管受理申報機關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構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450" w:left="31680" w:firstLineChars="202" w:firstLine="31680"/>
        <w:jc w:val="both"/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</w:pP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受理申報機關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構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>)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採網路申報方式者，申報人之簽名或蓋章，以可資辨別申報人身分之電子簽章代之。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450" w:left="31680" w:firstLineChars="202" w:firstLine="31680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TW"/>
        </w:rPr>
      </w:pP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受理申報機關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構</w:t>
      </w:r>
      <w:r w:rsidRPr="006A25A8">
        <w:rPr>
          <w:rFonts w:ascii="Times New Roman" w:eastAsia="標楷體" w:hAnsi="標楷體"/>
          <w:color w:val="000000"/>
          <w:kern w:val="2"/>
          <w:sz w:val="28"/>
          <w:szCs w:val="28"/>
          <w:lang w:eastAsia="zh-TW"/>
        </w:rPr>
        <w:t>)</w:t>
      </w:r>
      <w:r w:rsidRPr="006A25A8">
        <w:rPr>
          <w:rFonts w:ascii="Times New Roman" w:eastAsia="標楷體" w:hAnsi="標楷體" w:hint="eastAsia"/>
          <w:color w:val="000000"/>
          <w:kern w:val="2"/>
          <w:sz w:val="28"/>
          <w:szCs w:val="28"/>
          <w:lang w:eastAsia="zh-TW"/>
        </w:rPr>
        <w:t>於受理申報人之申報表後，應製發收據予申報人，並載明受理日期。但採網路申報方式者，不在此限。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406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三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申報人提出之申報表不符規定格式者，受理申報機關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應不予受理。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406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四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申報人逾規定期限申報者，受理申報機關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>)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仍應受理。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406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五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>)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受理申報後，除採網路申報方式者外，應就下列各款項目為形式審核：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71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一、基本資料應填寫完整，信託申報者，應檢附相關文件。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71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二、增、刪、塗改處應蓋章或簽名，手寫申報者，字跡應清晰。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71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三、申報人應於申報表首頁填寫申報日，並於末頁簽名或蓋章。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71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四、欄位空白處應填載「總申報筆數：零筆」。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450" w:left="31680" w:firstLineChars="2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申報人提出之申報表不合前項各款規定者，應通知其限期補正。申報人逾期不為補正者，受理申報機關（構）應製作書面紀錄留存。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76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六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  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申報人於申報後發現申報資料錯誤時，得重新詳實填寫申報表，提出於原受理申報機關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申請更正，原申報表不得抽換；其採網路申報方式者，得自行更正後重新上傳申報資料。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76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七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  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本法第十一條第一項所稱個案之查核，指具有下列各款情形之一者：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7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一、陳情或檢舉人以書面或言詞敘明申報人之姓名，且指明其申報不實或涉有貪瀆之情事。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7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二、申報人生活與消費顯超過其薪資收入。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7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三、其他事證足認申報人有申報不實或貪瀆之嫌疑。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438" w:left="31680" w:firstLineChars="20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本法第十一條第一項所稱一定比例之查核，指申報年度申報總人數百分之五以上。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438" w:left="31680" w:firstLineChars="20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受理申報機關（構）進行一定比例之查核時，應以抽籤前之財產申報資料為準。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93" w:firstLine="31680"/>
        <w:jc w:val="both"/>
        <w:rPr>
          <w:rFonts w:ascii="標楷體" w:eastAsia="標楷體" w:hAnsi="s?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s?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八</w:t>
      </w:r>
      <w:r w:rsidRPr="006A25A8">
        <w:rPr>
          <w:rFonts w:ascii="標楷體" w:eastAsia="標楷體" w:hAnsi="s?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條　　受理申報機關</w:t>
      </w:r>
      <w:r w:rsidRPr="006A25A8">
        <w:rPr>
          <w:rFonts w:ascii="標楷體" w:eastAsia="標楷體" w:hAnsi="s?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s?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進行本法之查核時，除得依法向有關機關</w:t>
      </w:r>
      <w:r w:rsidRPr="006A25A8">
        <w:rPr>
          <w:rFonts w:ascii="標楷體" w:eastAsia="標楷體" w:hAnsi="s?"/>
          <w:kern w:val="2"/>
          <w:sz w:val="28"/>
          <w:szCs w:val="28"/>
          <w:lang w:eastAsia="zh-TW"/>
        </w:rPr>
        <w:t>(</w:t>
      </w: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s?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、團體或個人查詢外，應予申報人陳述意見之機會。受理申報機關</w:t>
      </w:r>
      <w:r w:rsidRPr="006A25A8">
        <w:rPr>
          <w:rFonts w:ascii="標楷體" w:eastAsia="標楷體" w:hAnsi="s?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s?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之上級政風機關（構）複核時，亦同。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458" w:left="31680" w:firstLineChars="185" w:firstLine="31680"/>
        <w:jc w:val="both"/>
        <w:rPr>
          <w:rFonts w:ascii="標楷體" w:eastAsia="標楷體" w:hAnsi="s?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s?" w:hint="eastAsia"/>
          <w:kern w:val="2"/>
          <w:sz w:val="28"/>
          <w:szCs w:val="28"/>
          <w:lang w:eastAsia="zh-TW"/>
        </w:rPr>
        <w:t>申報人得以書面或口頭陳述意見；以口頭陳述意見者，受理申報機關（構）應製作書面紀錄，並由申報人簽名或蓋章。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67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九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對於前二條查核結果，應留有完整之紀錄。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85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認申報人非故意申報不實者，應將查核後之正確財產資料對照表附於原申報表，並通知申報人。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449" w:left="31680" w:firstLineChars="193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認申報人非故意未予信託者，應通知申報人限期信託並申報。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449" w:left="31680" w:firstLineChars="193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申報人於接獲第一項通知後，如發現有錯誤者，應即檢具正確財產資料之證明，申請受理申報機關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更正。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5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十一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  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>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>)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為政風機關（構）時，其所屬機關首長、副首長之財產申報資料由上級政風機關（構）查核及處理；無上級政風機關（構）者，移由法務部查核及處理。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5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十二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於本法第六條第一項所定期限內，依第五條規定完成形式審核後，應按申報人所申報之資料，彙整每人一冊，編號保存。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00" w:left="31680" w:firstLine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就前項資料，應影（列）印加蓋與原本相符之章戳，列冊供人查閱。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00" w:left="31680" w:firstLine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受理申報機關（構）於申請人申請查閱時，應遮蓋申報人及其配偶與未成年子女之國民身分證統一編號（中華民國居留證號）、通訊及戶籍地址、聯絡電話、門牌號碼或汽車牌照等資料。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5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十三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查閱申報人申報之財產資料者，應填具申請書向受理申報機關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申請，受理申報機關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非有正當理由，不得拒絕。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00" w:left="31680" w:firstLine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前項申請查閱之人，以中華民國國民年滿二十歲者為限。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00" w:left="31680" w:firstLine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第一項之申請書應記載下列事項，經申請人簽名具結後，交受理申報機關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保存：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82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一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申請人之姓名、住所及國民身分證統一編號。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82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二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查閱申報資料之目的。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82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三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申請人表明對於查閱之資料絕不供為營利、徵信、募款或其他不正當目的之使用。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5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十四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於收到申請書後，經審核合於規定者，應指定查閱時間、場所，通知申請人到場查閱。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00" w:left="31680" w:firstLine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前項通知，得以電話為之，並應製作書面紀錄留存。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85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十五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申請人應親自到場查閱，不得委任他人為之。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00" w:left="31680" w:firstLine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申請人到場查閱時，應先出示其身分證明。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5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十六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查閱資料應於受理申報機關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指定之場所為之，並僅得閱覽。其應遵守事項如下：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82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一、不得將資料攜出場外。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82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二、不得抄錄、攝影、影印。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82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三、對於查閱之資料不得填註、塗改、更換、抽取、圈點或污損。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82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四、裝訂之資料不得拆散。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825" w:left="31680" w:hanging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五、不得有其他影響資料完整或場所秩序之行為。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Chars="600" w:left="31680" w:firstLineChars="192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查閱人如有前項各款行為之一而涉及刑事責任者，受理申報機關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應依法函請該管檢察機關偵辦。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85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十七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申請人對同一申報人申報之資料，每年以查閱一次為限。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85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十八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申請人一次以申請查閱一人之申報資料為限。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5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十九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受理申報機關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(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構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)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於申請人查閱資料時應指派專人在場。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5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二十</w:t>
      </w:r>
      <w:r w:rsidRPr="006A25A8">
        <w:rPr>
          <w:rFonts w:ascii="標楷體" w:eastAsia="標楷體" w:hAnsi="標楷體"/>
          <w:kern w:val="2"/>
          <w:sz w:val="28"/>
          <w:szCs w:val="28"/>
          <w:lang w:eastAsia="zh-TW"/>
        </w:rPr>
        <w:t xml:space="preserve"> </w:t>
      </w: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條　　受理申報機關（構）應置查閱登記簿，登載查閱人及查閱相關事項。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514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第二十一條　　本辦法自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10"/>
          <w:attr w:name="Year" w:val="2008"/>
        </w:smartTagPr>
        <w:r w:rsidRPr="006A25A8">
          <w:rPr>
            <w:rFonts w:ascii="標楷體" w:eastAsia="標楷體" w:hAnsi="標楷體" w:hint="eastAsia"/>
            <w:kern w:val="2"/>
            <w:sz w:val="28"/>
            <w:szCs w:val="28"/>
            <w:lang w:eastAsia="zh-TW"/>
          </w:rPr>
          <w:t>中華民國九十七年十月一日</w:t>
        </w:r>
      </w:smartTag>
      <w:r w:rsidRPr="006A25A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施行。</w:t>
      </w:r>
    </w:p>
    <w:p w:rsidR="00F93425" w:rsidRPr="006A25A8" w:rsidRDefault="00F93425" w:rsidP="004B4D0B">
      <w:pPr>
        <w:widowControl w:val="0"/>
        <w:snapToGrid w:val="0"/>
        <w:spacing w:after="0" w:line="460" w:lineRule="exact"/>
        <w:ind w:left="31680" w:hangingChars="385" w:firstLine="31680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</w:p>
    <w:p w:rsidR="00F93425" w:rsidRDefault="00F93425">
      <w:pPr>
        <w:rPr>
          <w:lang w:eastAsia="zh-TW"/>
        </w:rPr>
      </w:pPr>
    </w:p>
    <w:sectPr w:rsidR="00F93425" w:rsidSect="00470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A8"/>
    <w:rsid w:val="000D2E89"/>
    <w:rsid w:val="004701A4"/>
    <w:rsid w:val="0047098F"/>
    <w:rsid w:val="004B4D0B"/>
    <w:rsid w:val="006A25A8"/>
    <w:rsid w:val="00BB1682"/>
    <w:rsid w:val="00DE7D30"/>
    <w:rsid w:val="00E7279E"/>
    <w:rsid w:val="00E94819"/>
    <w:rsid w:val="00F9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30"/>
    <w:pPr>
      <w:spacing w:after="200" w:line="276" w:lineRule="auto"/>
    </w:pPr>
    <w:rPr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D3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D30"/>
    <w:rPr>
      <w:rFonts w:ascii="Cambria" w:eastAsia="新細明體" w:hAnsi="Cambria" w:cs="Times New Roman"/>
      <w:b/>
      <w:bCs/>
      <w:color w:val="365F91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7D30"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E7D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E7D30"/>
    <w:rPr>
      <w:rFonts w:ascii="Cambria" w:eastAsia="新細明體" w:hAnsi="Cambria" w:cs="Times New Roman"/>
      <w:b/>
      <w:bCs/>
      <w:kern w:val="0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E7D30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7D30"/>
    <w:rPr>
      <w:rFonts w:ascii="Cambria" w:eastAsia="新細明體" w:hAnsi="Cambria" w:cs="Times New Roman"/>
      <w:i/>
      <w:iCs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E7D30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E7D3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DE7D30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322</Words>
  <Characters>1839</Characters>
  <Application>Microsoft Office Outlook</Application>
  <DocSecurity>0</DocSecurity>
  <Lines>0</Lines>
  <Paragraphs>0</Paragraphs>
  <ScaleCrop>false</ScaleCrop>
  <Company>台東縣政府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2012-03-03T00:44:00Z</dcterms:created>
  <dcterms:modified xsi:type="dcterms:W3CDTF">2014-11-11T01:20:00Z</dcterms:modified>
</cp:coreProperties>
</file>